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0E7" w14:textId="3F45323D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</w:t>
      </w:r>
      <w:r w:rsidR="008234BF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obci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Content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Vševily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2957353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957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2929548" cy="2929548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548" cy="2929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1604449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1604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12.9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94.88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12B70164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41DEB435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77777777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20-30%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20-30%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Content>
          <w:r w:rsidR="00502193" w:rsidRPr="00260CAF">
            <w:rPr>
              <w:noProof/>
            </w:rPr>
            <w:drawing>
              <wp:inline distT="0" distB="0" distL="0" distR="0" wp14:anchorId="2D0278A5" wp14:editId="36A0FBB2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4F863ED3" w:rsidR="00010C05" w:rsidRPr="007D0C41" w:rsidRDefault="00010C05" w:rsidP="007D0C41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</w:t>
      </w:r>
      <w:r w:rsidR="00AF43C6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 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6401A102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14:paraId="7CC1B1B8" w14:textId="44CBA0AC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2DCBD49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2006E0B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42E8B52F" w14:textId="51E3A0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</w:t>
      </w:r>
      <w:r w:rsidR="00AF43C6">
        <w:rPr>
          <w:rFonts w:asciiTheme="minorHAnsi" w:hAnsiTheme="minorHAnsi" w:cstheme="minorHAnsi"/>
          <w:sz w:val="20"/>
        </w:rPr>
        <w:t>.</w:t>
      </w:r>
    </w:p>
    <w:bookmarkEnd w:id="0"/>
    <w:p w14:paraId="65CDA552" w14:textId="0C318D2D" w:rsidR="005316FD" w:rsidRPr="007B77AF" w:rsidRDefault="005316FD" w:rsidP="00AF43C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1D4C35AD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66DA5861" w14:textId="7B8BA710" w:rsidR="005316FD" w:rsidRPr="00AF43C6" w:rsidRDefault="005316FD" w:rsidP="00AF43C6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všech recyklovatelných složek komunálních odpadů ve sběrném dvoře</w:t>
      </w:r>
      <w:r w:rsidR="00AF43C6">
        <w:rPr>
          <w:rFonts w:asciiTheme="minorHAnsi" w:hAnsiTheme="minorHAnsi" w:cstheme="minorHAnsi"/>
          <w:b/>
          <w:bCs/>
          <w:sz w:val="20"/>
        </w:rPr>
        <w:t xml:space="preserve"> v Rožmitále p. Tř.:</w:t>
      </w:r>
    </w:p>
    <w:p w14:paraId="617D6D3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23D380A5" w14:textId="77777777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>
        <w:rPr>
          <w:rFonts w:asciiTheme="minorHAnsi" w:hAnsiTheme="minorHAnsi" w:cstheme="minorHAnsi"/>
          <w:sz w:val="20"/>
        </w:rPr>
        <w:t>,</w:t>
      </w:r>
    </w:p>
    <w:p w14:paraId="03FAED1F" w14:textId="04E4B421" w:rsidR="005316FD" w:rsidRPr="007B77AF" w:rsidRDefault="005316FD" w:rsidP="00AF43C6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dřevo</w:t>
      </w:r>
      <w:r w:rsidRPr="007B77AF">
        <w:rPr>
          <w:rFonts w:asciiTheme="minorHAnsi" w:hAnsiTheme="minorHAnsi" w:cstheme="minorHAnsi"/>
          <w:sz w:val="20"/>
        </w:rPr>
        <w:t>.</w:t>
      </w:r>
    </w:p>
    <w:p w14:paraId="5E079486" w14:textId="63D9C519" w:rsidR="00010C05" w:rsidRDefault="00010C05" w:rsidP="005316FD">
      <w:pPr>
        <w:pStyle w:val="Bezmezer"/>
        <w:jc w:val="both"/>
      </w:pPr>
    </w:p>
    <w:p w14:paraId="55023879" w14:textId="044FA54E" w:rsidR="00EF4773" w:rsidRPr="00AF43C6" w:rsidRDefault="00010C05" w:rsidP="00126BDD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>Podrobný popis systému odpadového hospodářství je v Obecní vyhlášce č</w:t>
      </w:r>
      <w:r w:rsidR="009A12E8">
        <w:rPr>
          <w:b/>
          <w:bCs/>
          <w:color w:val="0070C0"/>
          <w:sz w:val="24"/>
          <w:szCs w:val="24"/>
        </w:rPr>
        <w:t xml:space="preserve">. </w:t>
      </w:r>
      <w:r w:rsidR="00AF43C6">
        <w:rPr>
          <w:b/>
          <w:bCs/>
          <w:color w:val="0070C0"/>
          <w:sz w:val="24"/>
          <w:szCs w:val="24"/>
        </w:rPr>
        <w:t>1/2021 o stanovení obecního systému odpadového hospodářství</w:t>
      </w:r>
      <w:r w:rsidRPr="009A12E8">
        <w:rPr>
          <w:b/>
          <w:bCs/>
          <w:color w:val="FF0000"/>
          <w:sz w:val="24"/>
          <w:szCs w:val="24"/>
        </w:rPr>
        <w:t xml:space="preserve"> </w:t>
      </w:r>
      <w:r w:rsidRPr="00B4046C">
        <w:rPr>
          <w:b/>
          <w:bCs/>
          <w:color w:val="0070C0"/>
          <w:sz w:val="24"/>
          <w:szCs w:val="24"/>
        </w:rPr>
        <w:t>a způsob výběru místních poplatků za odpady od občanů je uveden v Obecní vyhlášce č</w:t>
      </w:r>
      <w:r w:rsidR="009A12E8">
        <w:rPr>
          <w:b/>
          <w:bCs/>
          <w:color w:val="0070C0"/>
          <w:sz w:val="24"/>
          <w:szCs w:val="24"/>
        </w:rPr>
        <w:t xml:space="preserve">. </w:t>
      </w:r>
      <w:r w:rsidR="00AF43C6">
        <w:rPr>
          <w:b/>
          <w:bCs/>
          <w:color w:val="0070C0"/>
          <w:sz w:val="24"/>
          <w:szCs w:val="24"/>
        </w:rPr>
        <w:t>2/2021 o místním poplatku za odkládání komunálního odpadu z nemovité věci.</w:t>
      </w:r>
    </w:p>
    <w:p w14:paraId="38A7CC13" w14:textId="184CD124" w:rsidR="00EF4773" w:rsidRDefault="00EF4773" w:rsidP="00126BDD">
      <w:pPr>
        <w:pStyle w:val="Bezmezer"/>
      </w:pPr>
    </w:p>
    <w:p w14:paraId="21E6F351" w14:textId="1C2A62EB" w:rsidR="00EF4773" w:rsidRPr="00AF43C6" w:rsidRDefault="000A017C" w:rsidP="00AF43C6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4C84DE7B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 xml:space="preserve">eodkládat recyklovatelné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r w:rsidRPr="00EF4773">
        <w:rPr>
          <w:rFonts w:asciiTheme="minorHAnsi" w:hAnsiTheme="minorHAnsi" w:cstheme="minorHAnsi"/>
          <w:sz w:val="22"/>
          <w:szCs w:val="22"/>
        </w:rPr>
        <w:t>-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</w:t>
      </w:r>
      <w:r w:rsidR="00AF43C6">
        <w:rPr>
          <w:rFonts w:asciiTheme="minorHAnsi" w:hAnsiTheme="minorHAnsi" w:cstheme="minorHAnsi"/>
          <w:sz w:val="22"/>
          <w:szCs w:val="22"/>
        </w:rPr>
        <w:t xml:space="preserve">popelnic </w:t>
      </w:r>
      <w:r w:rsidRPr="00EF4773">
        <w:rPr>
          <w:rFonts w:asciiTheme="minorHAnsi" w:hAnsiTheme="minorHAnsi" w:cstheme="minorHAnsi"/>
          <w:sz w:val="22"/>
          <w:szCs w:val="22"/>
        </w:rPr>
        <w:t>na</w:t>
      </w:r>
      <w:r w:rsidR="00AF43C6">
        <w:rPr>
          <w:rFonts w:asciiTheme="minorHAnsi" w:hAnsiTheme="minorHAnsi" w:cstheme="minorHAnsi"/>
          <w:sz w:val="22"/>
          <w:szCs w:val="22"/>
        </w:rPr>
        <w:t> </w:t>
      </w:r>
      <w:r w:rsidRPr="00EF4773">
        <w:rPr>
          <w:rFonts w:asciiTheme="minorHAnsi" w:hAnsiTheme="minorHAnsi" w:cstheme="minorHAnsi"/>
          <w:sz w:val="22"/>
          <w:szCs w:val="22"/>
        </w:rPr>
        <w:t xml:space="preserve">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48F3E211" w14:textId="3EE190A1" w:rsidR="00F972FE" w:rsidRPr="00B4046C" w:rsidRDefault="000A017C" w:rsidP="00E53593">
      <w:pPr>
        <w:pStyle w:val="Odstavecseseznamem"/>
        <w:numPr>
          <w:ilvl w:val="0"/>
          <w:numId w:val="7"/>
        </w:numPr>
        <w:ind w:firstLine="0"/>
        <w:rPr>
          <w:b/>
          <w:bCs/>
        </w:rPr>
      </w:pPr>
      <w:r w:rsidRPr="00B4046C">
        <w:rPr>
          <w:b/>
          <w:bCs/>
        </w:rPr>
        <w:t>využívání domácího kompostování</w:t>
      </w:r>
      <w:r w:rsidR="00E53593" w:rsidRPr="00B4046C">
        <w:rPr>
          <w:b/>
          <w:bCs/>
        </w:rPr>
        <w:t>.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58FCF" w14:textId="32443017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6E1C5A61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64B40">
        <w:rPr>
          <w:u w:val="single"/>
        </w:rPr>
        <w:t xml:space="preserve">60 440 </w:t>
      </w:r>
      <w:r w:rsidRPr="00B4046C">
        <w:rPr>
          <w:u w:val="single"/>
        </w:rPr>
        <w:t>Kč</w:t>
      </w:r>
    </w:p>
    <w:p w14:paraId="3AE006DD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Příjmy od autorizované </w:t>
      </w:r>
    </w:p>
    <w:p w14:paraId="633B4A13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obalové společnosti </w:t>
      </w:r>
    </w:p>
    <w:p w14:paraId="2CA869F8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za systém separace </w:t>
      </w:r>
    </w:p>
    <w:p w14:paraId="4B342A06" w14:textId="36378AF1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obalových odpadů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64B40">
        <w:rPr>
          <w:u w:val="single"/>
        </w:rPr>
        <w:t xml:space="preserve"> </w:t>
      </w:r>
      <w:r w:rsidR="00764B40">
        <w:rPr>
          <w:u w:val="single"/>
        </w:rPr>
        <w:tab/>
        <w:t xml:space="preserve">61 280 </w:t>
      </w:r>
      <w:r w:rsidRPr="00B4046C">
        <w:rPr>
          <w:u w:val="single"/>
        </w:rPr>
        <w:t>Kč</w:t>
      </w:r>
    </w:p>
    <w:p w14:paraId="5710DB20" w14:textId="3CB32F4B" w:rsidR="00FB2702" w:rsidRPr="00B4046C" w:rsidRDefault="00FB2702" w:rsidP="00FB2702">
      <w:pPr>
        <w:pStyle w:val="Odstavecseseznamem"/>
        <w:ind w:left="850"/>
      </w:pPr>
    </w:p>
    <w:p w14:paraId="412A33D3" w14:textId="4CD3E6D6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Ostatní příjmy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764B40">
        <w:rPr>
          <w:u w:val="single"/>
        </w:rPr>
        <w:tab/>
        <w:t xml:space="preserve">0 </w:t>
      </w:r>
      <w:r w:rsidRPr="00B4046C">
        <w:rPr>
          <w:u w:val="single"/>
        </w:rPr>
        <w:t>Kč</w:t>
      </w:r>
    </w:p>
    <w:p w14:paraId="0C7ECC59" w14:textId="79427FF5" w:rsidR="00FB2702" w:rsidRP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lastRenderedPageBreak/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764B40">
        <w:rPr>
          <w:b/>
          <w:bCs/>
        </w:rPr>
        <w:tab/>
        <w:t xml:space="preserve">121 720 </w:t>
      </w:r>
      <w:r w:rsidRPr="00B4046C">
        <w:rPr>
          <w:b/>
          <w:bCs/>
        </w:rPr>
        <w:t>Kč</w:t>
      </w:r>
    </w:p>
    <w:p w14:paraId="7405A020" w14:textId="55EA4718" w:rsidR="00FB2702" w:rsidRDefault="00FB2702" w:rsidP="00FB2702">
      <w:pPr>
        <w:pStyle w:val="Odstavecseseznamem"/>
        <w:ind w:left="850"/>
        <w:rPr>
          <w:b/>
          <w:bCs/>
        </w:rPr>
      </w:pPr>
    </w:p>
    <w:p w14:paraId="17B644FA" w14:textId="37CC3379" w:rsidR="0012286F" w:rsidRPr="0090692E" w:rsidRDefault="0012286F" w:rsidP="00FB2702">
      <w:pPr>
        <w:pStyle w:val="Odstavecseseznamem"/>
        <w:ind w:left="850"/>
        <w:rPr>
          <w:b/>
          <w:bCs/>
          <w:lang w:val="en-US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r w:rsidR="00BF0D50">
        <w:rPr>
          <w:b/>
          <w:bCs/>
        </w:rPr>
        <w:t>)</w:t>
      </w:r>
      <w:r w:rsidR="00BE24FA">
        <w:rPr>
          <w:b/>
          <w:bCs/>
        </w:rPr>
        <w:t xml:space="preserve">: </w:t>
      </w:r>
      <w:sdt>
        <w:sdtPr>
          <w:rPr>
            <w:b/>
            <w:bCs/>
          </w:rPr>
          <w:alias w:val="Added Invoices"/>
          <w:tag w:val="mpg_invoicesamount"/>
          <w:id w:val="194206629"/>
          <w:placeholder>
            <w:docPart w:val="DefaultPlaceholder_-1854013440"/>
          </w:placeholder>
          <w:text/>
        </w:sdtPr>
        <w:sdtContent>
          <w:r w:rsidR="00AF43C6">
            <w:rPr>
              <w:b/>
              <w:bCs/>
            </w:rPr>
            <w:t>196 005</w:t>
          </w:r>
        </w:sdtContent>
      </w:sdt>
      <w:r w:rsidR="006E0E94">
        <w:rPr>
          <w:b/>
          <w:bCs/>
        </w:rPr>
        <w:t xml:space="preserve"> </w:t>
      </w:r>
      <w:r w:rsidR="00F73C02">
        <w:rPr>
          <w:b/>
          <w:bCs/>
        </w:rPr>
        <w:t>Kč</w:t>
      </w:r>
    </w:p>
    <w:p w14:paraId="05B30B5C" w14:textId="795B7A75" w:rsidR="00DB766C" w:rsidRPr="0090692E" w:rsidRDefault="00AF0010" w:rsidP="0090692E">
      <w:pPr>
        <w:pStyle w:val="Odstavecseseznamem"/>
        <w:ind w:left="8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zdroj </w:t>
      </w:r>
      <w:proofErr w:type="spellStart"/>
      <w:r>
        <w:rPr>
          <w:i/>
          <w:iCs/>
          <w:sz w:val="20"/>
          <w:szCs w:val="20"/>
        </w:rPr>
        <w:t>wZP</w:t>
      </w:r>
      <w:proofErr w:type="spellEnd"/>
      <w:r>
        <w:rPr>
          <w:i/>
          <w:iCs/>
          <w:sz w:val="20"/>
          <w:szCs w:val="20"/>
        </w:rPr>
        <w:t xml:space="preserve"> MPG</w:t>
      </w:r>
      <w:r w:rsidR="009A12E8">
        <w:rPr>
          <w:i/>
          <w:iCs/>
          <w:sz w:val="20"/>
          <w:szCs w:val="20"/>
        </w:rPr>
        <w:t xml:space="preserve"> – </w:t>
      </w:r>
      <w:r w:rsidR="009A12E8" w:rsidRPr="0051583E">
        <w:rPr>
          <w:i/>
          <w:iCs/>
          <w:sz w:val="20"/>
          <w:szCs w:val="20"/>
        </w:rPr>
        <w:t xml:space="preserve">Graf. č. </w:t>
      </w:r>
      <w:r w:rsidR="009A12E8">
        <w:rPr>
          <w:i/>
          <w:iCs/>
          <w:sz w:val="20"/>
          <w:szCs w:val="20"/>
        </w:rPr>
        <w:t xml:space="preserve">6 </w:t>
      </w:r>
    </w:p>
    <w:sectPr w:rsidR="00DB766C" w:rsidRPr="0090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E0E94"/>
    <w:rsid w:val="006E4BDA"/>
    <w:rsid w:val="00701239"/>
    <w:rsid w:val="0071780F"/>
    <w:rsid w:val="00725A47"/>
    <w:rsid w:val="00764B40"/>
    <w:rsid w:val="007806AD"/>
    <w:rsid w:val="0078207D"/>
    <w:rsid w:val="007A4653"/>
    <w:rsid w:val="007B77AF"/>
    <w:rsid w:val="007D0C41"/>
    <w:rsid w:val="008234BF"/>
    <w:rsid w:val="00833ECD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43C6"/>
    <w:rsid w:val="00AF516F"/>
    <w:rsid w:val="00AF5C24"/>
    <w:rsid w:val="00B23518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E13943"/>
    <w:rsid w:val="00E31F13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6052BA"/>
    <w:rsid w:val="0061297B"/>
    <w:rsid w:val="00884AE6"/>
    <w:rsid w:val="00914318"/>
    <w:rsid w:val="00A22EC0"/>
    <w:rsid w:val="00D41960"/>
    <w:rsid w:val="00DF5D1B"/>
    <w:rsid w:val="00EF72E0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10</Pages>
  <Words>1043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Obec Vševily</cp:lastModifiedBy>
  <cp:revision>41</cp:revision>
  <dcterms:created xsi:type="dcterms:W3CDTF">2022-09-13T14:02:00Z</dcterms:created>
  <dcterms:modified xsi:type="dcterms:W3CDTF">2022-12-02T17:06:00Z</dcterms:modified>
</cp:coreProperties>
</file>